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61"/>
      </w:pPr>
      <w:r>
        <w:t xml:space="preserve"> </w:t>
      </w:r>
      <w:r/>
      <w:r/>
      <w:r/>
    </w:p>
    <w:p>
      <w:pPr>
        <w:pStyle w:val="261"/>
        <w:jc w:val="center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ПОЛОЖЕНИЕ</w:t>
      </w:r>
      <w:r/>
    </w:p>
    <w:p>
      <w:pPr>
        <w:pStyle w:val="261"/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о региональном этапе Всероссийского конкурса на лучшего работника сферы государственной молодежной политики</w:t>
      </w:r>
      <w:r/>
    </w:p>
    <w:p>
      <w:pPr>
        <w:pStyle w:val="261"/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 </w:t>
      </w:r>
      <w:r/>
    </w:p>
    <w:p>
      <w:pPr>
        <w:pStyle w:val="261"/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Глава 1. ОБЩИЕ ПОЛОЖЕНИЯ</w:t>
      </w:r>
      <w:r/>
    </w:p>
    <w:p>
      <w:pPr>
        <w:pStyle w:val="261"/>
        <w:ind w:left="0" w:right="0" w:firstLine="709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  <w:t xml:space="preserve">1. Настоящее</w:t>
      </w:r>
      <w:r>
        <w:rPr>
          <w:color w:val="010423"/>
          <w:sz w:val="28"/>
          <w:szCs w:val="28"/>
        </w:rPr>
        <w:t xml:space="preserve"> положение определяет цель и задачи, порядок проведения и подведения итогов  регионального этапа Всероссийского конкурса на лучшего работника сферы государственной молодежной политики в 2020 году (далее - Конкурс), категории участников, основные номинации.</w:t>
      </w:r>
      <w:r/>
    </w:p>
    <w:p>
      <w:pPr>
        <w:ind w:left="0" w:right="0" w:firstLine="709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  <w:t xml:space="preserve">2. Учредителем конкурса является комитет по делам молодежи Костромской области.</w:t>
      </w:r>
      <w:r>
        <w:rPr>
          <w:color w:val="010423"/>
          <w:sz w:val="28"/>
          <w:szCs w:val="28"/>
        </w:rPr>
      </w:r>
      <w:r/>
    </w:p>
    <w:p>
      <w:pPr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3. </w:t>
      </w:r>
      <w:r>
        <w:rPr>
          <w:sz w:val="28"/>
          <w:szCs w:val="28"/>
        </w:rPr>
        <w:t xml:space="preserve">Форма проведения конкурса: заочная.</w:t>
      </w: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 </w:t>
      </w:r>
      <w:r/>
    </w:p>
    <w:p>
      <w:pPr>
        <w:pStyle w:val="261"/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Глава 2. ЦЕЛЬ И ЗАДАЧИ КОНКУРСА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4. Цель конкурса: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повышение статуса работников сферы государственной молодежной политики;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развитие профессиональной компетентности работников сферы государственной молодежной политики и стимулирование их деятельности;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содействие формированию кадрового резерва и повышение эффективности использования кадрового потенциала работников сферы государственной молодежной политики.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5. Основные задачи конкурса: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совершенствование ресурсного обеспечения реализации государственной молодёжной политики;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повышение внимания органов власти всех уровней к вопросам реализации молодежной политики;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выявление лучших руководителей и специалистов отрасли государственной молодёжной политики;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оценка и повышение уровня профессиональной подготовки работников отрасли государственной молодёжной политики;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создание системы поддержки талантливых, профессиональных специалистов по работе с молодёжью;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стимулирование разработки инновационных программ и проектов в сфере молодежной политики и их реализация;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проведение комплексной многоступенчатой оценки участников, основанной на использовании взаимодополняющих методов, позволяющих оценить реальные качества и компетенции участников Конкурса;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создание условий для обмена опытом работы по вопросам реализации основных направлений государственной молодёжной политики, в том числе кадрового обеспечения отрасли государственной молодежной политики.</w:t>
      </w:r>
      <w:r/>
    </w:p>
    <w:p>
      <w:pPr>
        <w:pStyle w:val="261"/>
        <w:shd w:val="clear" w:color="auto" w:fill="FFFFFF"/>
        <w:rPr>
          <w:b/>
          <w:bCs/>
          <w:color w:val="010423"/>
          <w:sz w:val="28"/>
          <w:szCs w:val="28"/>
        </w:rPr>
      </w:pPr>
      <w:r>
        <w:rPr>
          <w:b/>
          <w:bCs/>
          <w:color w:val="010423"/>
          <w:sz w:val="28"/>
          <w:szCs w:val="28"/>
        </w:rPr>
      </w:r>
      <w:r/>
    </w:p>
    <w:p>
      <w:pPr>
        <w:pStyle w:val="261"/>
        <w:jc w:val="center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center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Глава 3. УЧАСТНИКИ КОНКУРСА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6. Участниками конкурса являются: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руководители и специалисты органов муниципальных образований Костромской области, осуществляющих управление в сфере молодежной политики;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руководители и специалисты государственных и муниципальных учреждений сферы молодёжной политики Костромской области;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кураторы по работе с молодежью образовательных организаций высшего и среднего профессионального образования Костромской области (далее – участники конкурса).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7. Участники конкурса должны иметь подтвержденный стаж работы в сфере государственной молодёжной политики не менее одного года.</w:t>
      </w:r>
      <w:r/>
    </w:p>
    <w:p>
      <w:pPr>
        <w:pStyle w:val="261"/>
        <w:ind w:left="0" w:right="0" w:firstLine="709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Глава 4. НОМИНАЦИИ КОНКУРСА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8. Настоящим Положением устанавливаются следующие основные конкурсные номинации: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номинация 1 - «Руководитель органа исполнительной власти муниципального образова</w:t>
      </w:r>
      <w:r>
        <w:rPr>
          <w:color w:val="010423"/>
          <w:sz w:val="28"/>
          <w:szCs w:val="28"/>
        </w:rPr>
        <w:t xml:space="preserve">ния Костромской области, реализующего государственную молодежную политику» (в номинации принимают участие руководители, заместители руководителей органов, осуществляющих управление в сфере молодежной политики муниципальных образований Костромской области);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 номинация 2 </w:t>
      </w:r>
      <w:r>
        <w:rPr>
          <w:color w:val="010423"/>
          <w:sz w:val="28"/>
          <w:szCs w:val="28"/>
        </w:rPr>
        <w:t xml:space="preserve">- «Специалист органа исполнительной власти муниципального образования Костромской области (в номинации принимают участие специалисты органов, осуществляющих управление в сфере молодежной политики муниципальных образований Костромской области);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номинация 3 - «Руководитель подведомственного учреждения органа исполнительной власти муниципального образования Костромской области или субъекта Российской Федерации, реализующего государственную молодежную политику» (в номинации принимают участие </w:t>
      </w:r>
      <w:r>
        <w:rPr>
          <w:color w:val="010423"/>
          <w:sz w:val="28"/>
          <w:szCs w:val="28"/>
        </w:rPr>
        <w:t xml:space="preserve">руководители и заместители руководителей подведомственных учреждений органов, осуществляющих управление в сфере молодежной политики муниципальных образований Костромской области и подведомственных учреждений комитета по делам молодежи Костромской области);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номинация 4 - «Специалист  подведомственного учреждения органа исполнительной власти муниципального образования Костромской области или субъекта Российской Федерации, реализующего государствен</w:t>
      </w:r>
      <w:r>
        <w:rPr>
          <w:color w:val="010423"/>
          <w:sz w:val="28"/>
          <w:szCs w:val="28"/>
        </w:rPr>
        <w:t xml:space="preserve">ную молодежную политику» (в номинации принимают участие специалисты подведомственных учреждений органов, осуществляющего управление в сфере молодежной политики муниципальных образований Костромской области и комитета по делам молодежи Костромской области);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номинация 5 - «Куратор по работ</w:t>
      </w:r>
      <w:r>
        <w:rPr>
          <w:color w:val="010423"/>
          <w:sz w:val="28"/>
          <w:szCs w:val="28"/>
        </w:rPr>
        <w:t xml:space="preserve">е с молодежью образовательных организаций</w:t>
      </w:r>
      <w:r>
        <w:rPr>
          <w:color w:val="010423"/>
          <w:sz w:val="28"/>
          <w:szCs w:val="28"/>
        </w:rPr>
        <w:t xml:space="preserve"> Костромской области»  (в номинации принимают участие руководители, заместители руководителей, специалисты по работе с молодежью образовательных организаций среднего профессионального и высшего образования, расположенных на территории Костромской области).</w:t>
      </w:r>
      <w:r/>
    </w:p>
    <w:p>
      <w:pPr>
        <w:pStyle w:val="261"/>
        <w:ind w:left="0" w:right="0" w:firstLine="709"/>
        <w:jc w:val="center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709"/>
        <w:jc w:val="center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ind w:left="0" w:right="0" w:firstLine="709"/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Глава 5. ОРГАНИЗАТОРЫ КОНКУРСА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9. Организатором конкурса является комитет по делам молодежи Костромской области.</w:t>
      </w:r>
      <w:r/>
    </w:p>
    <w:p>
      <w:pPr>
        <w:pStyle w:val="261"/>
        <w:ind w:left="0" w:right="0" w:firstLine="709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  <w:t xml:space="preserve">10. Для организационно-методического о</w:t>
      </w:r>
      <w:r>
        <w:rPr>
          <w:color w:val="010423"/>
          <w:sz w:val="28"/>
          <w:szCs w:val="28"/>
        </w:rPr>
        <w:t xml:space="preserve">беспечения проведения конкурса создается организационный комитет, который устана</w:t>
      </w:r>
      <w:r>
        <w:rPr>
          <w:color w:val="010423"/>
          <w:sz w:val="28"/>
          <w:szCs w:val="28"/>
        </w:rPr>
        <w:t xml:space="preserve">вливает порядок и сроки проведения конкурса, определяет процедуру его проведения и порядок финансирования, утверждает состав Экспертного совета. </w:t>
      </w:r>
      <w:r/>
    </w:p>
    <w:p>
      <w:pPr>
        <w:ind w:left="0" w:right="0" w:firstLine="709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  <w:t xml:space="preserve">Состав организационного комитета конкурса утверждается приказом комитета по делам молодежи Костромской области.</w:t>
      </w:r>
      <w:r/>
    </w:p>
    <w:p>
      <w:pPr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11. Решение организационного комитета конкурса считается принятым, если за него</w:t>
      </w:r>
      <w:r>
        <w:rPr>
          <w:color w:val="010423"/>
          <w:sz w:val="28"/>
          <w:szCs w:val="28"/>
        </w:rPr>
        <w:t xml:space="preserve"> проголосовало не менее половины от числа присутствующих на заседании членов организационного комитета. Решение организационного комитета конкурса оформляется протоколом, который подписывается председателем, а в его отсутствие - заместителем председателя. </w:t>
      </w:r>
      <w:r/>
    </w:p>
    <w:p>
      <w:pPr>
        <w:pStyle w:val="261"/>
        <w:jc w:val="center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Глава 6. ЭКСПЕРТНЫЙ СОВЕТ КОНКУРСА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12. Состав Экспертного совета конкурса утверждается  организационным комитетом конкурса.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13. Экспертный совет конкурса: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проводит экспертизу материалов, представленных на конкурс;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рассматривает конкурсные материалы и проводит их оценку по каждой номинации;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определяет победителей и призеров конкурса по каждой номинации.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14.  Решение экспертного совета конкурса  считается принятым, если за него проголосовало не менее половины от числа присутствующих  на заседании членов экспертного совета.</w:t>
      </w:r>
      <w:r>
        <w:rPr>
          <w:color w:val="010423"/>
          <w:sz w:val="28"/>
          <w:szCs w:val="28"/>
        </w:rPr>
        <w:t xml:space="preserve"> Решение экспертного совета конкурса оформляется протоколом, который подписывается председателем, а в его отсутствие - заместителем председателя. </w:t>
      </w: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t xml:space="preserve"> </w:t>
      </w:r>
      <w:r/>
    </w:p>
    <w:p>
      <w:pPr>
        <w:pStyle w:val="261"/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Глава 7. ПОРЯДОК ПРЕДОСТАВЛЕНИЯ ДОКУМЕНТОВ </w:t>
      </w:r>
      <w:r/>
    </w:p>
    <w:p>
      <w:pPr>
        <w:pStyle w:val="261"/>
        <w:jc w:val="center"/>
        <w:shd w:val="clear" w:color="auto" w:fill="FFFFFF"/>
      </w:pPr>
      <w:r>
        <w:rPr>
          <w:color w:val="010423"/>
          <w:sz w:val="28"/>
          <w:szCs w:val="28"/>
        </w:rPr>
        <w:t xml:space="preserve">ДЛЯ УЧАСТИЯ В КОНКУРСЕ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15. Конкурс проводится в период с августа по сентябрь 2020 года.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16. Перечень конкурсных материалов: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видео на тему: «Моя профессия» (требования: длительность ролика не менее 1-й минуты и не более 2-х минут; необходимо опубликовать видеоролик в социальной сети «ВКонтакте» и указать  ссылку при заполнении заявки в АИС «Молодежь России»);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по номинациям 1, 2: презентация проведенного исследования среди молодежи: «Актуальные проблемы в молодежной среде</w:t>
      </w:r>
      <w:r>
        <w:rPr>
          <w:color w:val="010423"/>
          <w:sz w:val="28"/>
          <w:szCs w:val="28"/>
        </w:rPr>
        <w:t xml:space="preserve">» (образование будущего, социальные лифты, главные навыки молодого человека будущего, миграция, реализация личностных и карьерных потребностей, информационная среда и социальные сети, доверие к государству и т.д.);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по номинации 3: презентация учреждения по работе с молодежью за 3 года;</w:t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- по номинациям 4, 5: презентация авторского проекта в сфере государственной молодежной политики, реализуемого не менее одного года.   </w:t>
      </w:r>
      <w:r/>
    </w:p>
    <w:p>
      <w:pPr>
        <w:pStyle w:val="261"/>
        <w:ind w:left="0" w:right="0" w:firstLine="709"/>
        <w:jc w:val="both"/>
      </w:pPr>
      <w:r>
        <w:t xml:space="preserve"> </w:t>
      </w:r>
      <w:r>
        <w:rPr>
          <w:sz w:val="28"/>
          <w:szCs w:val="28"/>
        </w:rPr>
        <w:t xml:space="preserve">17. Обязательным требованием к участию в конкурсе является регистрация участников в автоматизированной информационной системе «Молодежь России» до 8 сентября 2020 года. </w:t>
      </w:r>
      <w:r/>
    </w:p>
    <w:p>
      <w:pPr>
        <w:pStyle w:val="299"/>
        <w:ind w:left="0" w:right="0" w:firstLine="709"/>
        <w:jc w:val="both"/>
        <w:spacing w:lineRule="auto" w:line="240"/>
        <w:shd w:val="clear" w:color="auto" w:fill="auto"/>
        <w:tabs>
          <w:tab w:val="left" w:pos="1134" w:leader="none"/>
        </w:tabs>
        <w:rPr>
          <w:color w:val="010423"/>
          <w:sz w:val="28"/>
          <w:szCs w:val="28"/>
        </w:rPr>
      </w:pPr>
      <w:r>
        <w:rPr>
          <w:color w:val="010423"/>
          <w:sz w:val="28"/>
          <w:szCs w:val="28"/>
          <w:lang w:val="ru-RU"/>
        </w:rPr>
        <w:t xml:space="preserve">18. Перечень конкурсных испытаний и критерии оценки </w:t>
      </w:r>
      <w:r>
        <w:rPr>
          <w:color w:val="010423"/>
          <w:sz w:val="28"/>
          <w:szCs w:val="28"/>
        </w:rPr>
        <w:t xml:space="preserve">конкурсных испытаний </w:t>
      </w:r>
      <w:r>
        <w:rPr>
          <w:color w:val="010423"/>
          <w:sz w:val="28"/>
          <w:szCs w:val="28"/>
          <w:lang w:val="ru-RU"/>
        </w:rPr>
        <w:t xml:space="preserve">регионального этапа </w:t>
      </w:r>
      <w:r>
        <w:rPr>
          <w:color w:val="010423"/>
          <w:sz w:val="28"/>
          <w:szCs w:val="28"/>
        </w:rPr>
        <w:t xml:space="preserve">Всероссийского конкурса на лучшего работника сферы государственной молодежной политики</w:t>
      </w:r>
      <w:r>
        <w:rPr>
          <w:sz w:val="28"/>
          <w:lang w:val="ru-RU"/>
        </w:rPr>
        <w:t xml:space="preserve">  указаны в приложении к </w:t>
      </w:r>
      <w:r>
        <w:rPr>
          <w:color w:val="010423"/>
          <w:sz w:val="28"/>
          <w:szCs w:val="28"/>
        </w:rPr>
        <w:t xml:space="preserve">Положению о региональном этапе </w:t>
      </w:r>
      <w:r>
        <w:rPr>
          <w:color w:val="010423"/>
          <w:sz w:val="28"/>
          <w:szCs w:val="28"/>
        </w:rPr>
        <w:t xml:space="preserve">Всероссийского конкурса </w:t>
      </w:r>
      <w:r>
        <w:rPr>
          <w:color w:val="010423"/>
          <w:sz w:val="28"/>
          <w:szCs w:val="28"/>
        </w:rPr>
        <w:t xml:space="preserve">на лучшего работника</w:t>
      </w:r>
      <w:r>
        <w:rPr>
          <w:sz w:val="28"/>
        </w:rPr>
        <w:t xml:space="preserve"> </w:t>
      </w:r>
      <w:r>
        <w:rPr>
          <w:color w:val="010423"/>
          <w:sz w:val="28"/>
          <w:szCs w:val="28"/>
        </w:rPr>
        <w:t xml:space="preserve"> </w:t>
      </w:r>
      <w:r>
        <w:rPr>
          <w:color w:val="010423"/>
          <w:sz w:val="28"/>
          <w:szCs w:val="28"/>
        </w:rPr>
        <w:t xml:space="preserve">сферы государственной </w:t>
      </w:r>
      <w:r>
        <w:rPr>
          <w:color w:val="010423"/>
          <w:sz w:val="28"/>
          <w:szCs w:val="28"/>
        </w:rPr>
        <w:t xml:space="preserve">молодежной политики.</w:t>
      </w:r>
      <w:r/>
    </w:p>
    <w:p>
      <w:pPr>
        <w:ind w:left="0" w:right="0" w:firstLine="709"/>
        <w:jc w:val="both"/>
        <w:shd w:val="clear" w:color="auto" w:fill="FFFFFF"/>
        <w:rPr>
          <w:sz w:val="28"/>
        </w:rPr>
      </w:pPr>
      <w:r>
        <w:rPr>
          <w:color w:val="010423"/>
          <w:sz w:val="28"/>
          <w:szCs w:val="28"/>
        </w:rPr>
      </w:r>
      <w:r>
        <w:rPr>
          <w:color w:val="010423"/>
          <w:sz w:val="28"/>
          <w:szCs w:val="28"/>
        </w:rPr>
      </w:r>
      <w:r/>
    </w:p>
    <w:p>
      <w:pPr>
        <w:pStyle w:val="292"/>
        <w:ind w:left="0" w:right="0" w:firstLine="709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10423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10423"/>
          <w:sz w:val="28"/>
          <w:szCs w:val="28"/>
        </w:rPr>
        <w:t xml:space="preserve">Глава 8. ПОДВЕДЕНИЕ ИТОГОВ КОНКУРСА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261"/>
        <w:ind w:left="0" w:right="0" w:firstLine="709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19. По итогам конкурса определяется победитель (участник, занявший первое место) и призёры (участники, занявшие второе и третье место) по каждой номинации, которые награждаются дипломами.</w:t>
      </w:r>
      <w:r/>
    </w:p>
    <w:p>
      <w:pPr>
        <w:pStyle w:val="261"/>
        <w:ind w:left="0" w:right="0" w:firstLine="680"/>
        <w:jc w:val="both"/>
        <w:shd w:val="clear" w:color="auto" w:fill="FFFFFF"/>
      </w:pPr>
      <w:r>
        <w:rPr>
          <w:color w:val="010423"/>
          <w:sz w:val="28"/>
          <w:szCs w:val="28"/>
        </w:rPr>
        <w:t xml:space="preserve">20. Победители конкурса рекомендуются для участия во Всероссийском конкурсе  на лучшего работника сферы государственной молодёжной политики.</w:t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szCs w:val="28"/>
        </w:rPr>
      </w:pPr>
      <w:r>
        <w:rPr>
          <w:color w:val="010423"/>
          <w:sz w:val="28"/>
          <w:szCs w:val="28"/>
        </w:rPr>
      </w:r>
      <w:r/>
    </w:p>
    <w:p>
      <w:pPr>
        <w:ind w:left="0" w:right="0" w:firstLine="680"/>
        <w:jc w:val="both"/>
        <w:shd w:val="clear" w:color="auto" w:fill="FFFFFF"/>
        <w:rPr>
          <w:szCs w:val="28"/>
        </w:rPr>
      </w:pPr>
      <w:r>
        <w:rPr>
          <w:szCs w:val="28"/>
        </w:rPr>
      </w:r>
      <w:r/>
    </w:p>
    <w:p>
      <w:pPr>
        <w:ind w:left="0" w:right="0" w:firstLine="680"/>
        <w:jc w:val="both"/>
        <w:shd w:val="clear" w:color="auto" w:fill="FFFFFF"/>
        <w:rPr>
          <w:szCs w:val="28"/>
        </w:rPr>
      </w:pPr>
      <w:r>
        <w:rPr>
          <w:szCs w:val="28"/>
        </w:rPr>
      </w:r>
      <w:r/>
    </w:p>
    <w:p>
      <w:pPr>
        <w:ind w:left="0" w:right="0" w:firstLine="680"/>
        <w:jc w:val="both"/>
        <w:shd w:val="clear" w:color="auto" w:fill="FFFFFF"/>
        <w:rPr>
          <w:szCs w:val="28"/>
        </w:rPr>
      </w:pPr>
      <w:r>
        <w:rPr>
          <w:szCs w:val="28"/>
        </w:rPr>
      </w:r>
      <w:r/>
    </w:p>
    <w:p>
      <w:pPr>
        <w:ind w:left="0" w:right="0" w:firstLine="680"/>
        <w:jc w:val="both"/>
        <w:shd w:val="clear" w:color="auto" w:fill="FFFFFF"/>
        <w:rPr>
          <w:szCs w:val="28"/>
        </w:rPr>
      </w:pPr>
      <w:r>
        <w:rPr>
          <w:szCs w:val="28"/>
        </w:rPr>
      </w:r>
      <w:r/>
    </w:p>
    <w:p>
      <w:pPr>
        <w:ind w:left="0" w:right="0" w:firstLine="680"/>
        <w:jc w:val="both"/>
        <w:shd w:val="clear" w:color="auto" w:fill="FFFFFF"/>
        <w:rPr>
          <w:szCs w:val="28"/>
        </w:rPr>
      </w:pPr>
      <w:r>
        <w:rPr>
          <w:szCs w:val="28"/>
        </w:rPr>
      </w:r>
      <w:r/>
    </w:p>
    <w:p>
      <w:pPr>
        <w:jc w:val="right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szCs w:val="28"/>
        </w:rPr>
      </w:pPr>
      <w:r>
        <w:rPr>
          <w:color w:val="010423"/>
          <w:sz w:val="28"/>
          <w:szCs w:val="28"/>
        </w:rPr>
      </w:r>
      <w:r/>
    </w:p>
    <w:p>
      <w:pPr>
        <w:jc w:val="right"/>
        <w:shd w:val="clear" w:color="auto" w:fill="FFFFFF"/>
        <w:rPr>
          <w:szCs w:val="28"/>
        </w:rPr>
      </w:pPr>
      <w:r/>
      <w:r/>
    </w:p>
    <w:p>
      <w:pPr>
        <w:jc w:val="right"/>
        <w:shd w:val="clear" w:color="auto" w:fill="FFFFFF"/>
        <w:rPr>
          <w:szCs w:val="28"/>
        </w:rPr>
      </w:pPr>
      <w:r/>
      <w:r/>
    </w:p>
    <w:p>
      <w:pPr>
        <w:jc w:val="right"/>
        <w:shd w:val="clear" w:color="auto" w:fill="FFFFFF"/>
        <w:rPr>
          <w:szCs w:val="28"/>
        </w:rPr>
      </w:pPr>
      <w:r/>
      <w:r/>
    </w:p>
    <w:p>
      <w:pPr>
        <w:jc w:val="right"/>
        <w:shd w:val="clear" w:color="auto" w:fill="FFFFFF"/>
        <w:rPr>
          <w:szCs w:val="28"/>
        </w:rPr>
      </w:pPr>
      <w:r/>
      <w:r/>
    </w:p>
    <w:p>
      <w:pPr>
        <w:jc w:val="right"/>
        <w:shd w:val="clear" w:color="auto" w:fill="FFFFFF"/>
        <w:rPr>
          <w:szCs w:val="28"/>
        </w:rPr>
      </w:pPr>
      <w:r/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color w:val="010423"/>
          <w:sz w:val="28"/>
          <w:szCs w:val="28"/>
        </w:rPr>
        <w:t xml:space="preserve">Приложение</w:t>
      </w:r>
      <w:r>
        <w:rPr>
          <w:sz w:val="28"/>
        </w:rPr>
      </w:r>
      <w:r/>
    </w:p>
    <w:p>
      <w:pPr>
        <w:pStyle w:val="261"/>
        <w:jc w:val="right"/>
        <w:shd w:val="clear" w:color="auto" w:fill="FFFFFF"/>
        <w:rPr>
          <w:sz w:val="28"/>
        </w:rPr>
      </w:pPr>
      <w:r>
        <w:rPr>
          <w:color w:val="010423"/>
          <w:sz w:val="28"/>
          <w:szCs w:val="28"/>
        </w:rPr>
        <w:t xml:space="preserve">к Положению о региональном этапе </w:t>
      </w:r>
      <w:r>
        <w:rPr>
          <w:sz w:val="28"/>
        </w:rPr>
      </w:r>
      <w:r/>
    </w:p>
    <w:p>
      <w:pPr>
        <w:pStyle w:val="261"/>
        <w:jc w:val="right"/>
        <w:shd w:val="clear" w:color="auto" w:fill="FFFFFF"/>
        <w:rPr>
          <w:sz w:val="28"/>
        </w:rPr>
      </w:pPr>
      <w:r>
        <w:rPr>
          <w:color w:val="010423"/>
          <w:sz w:val="28"/>
          <w:szCs w:val="28"/>
        </w:rPr>
        <w:t xml:space="preserve">Всероссийского конкурса </w:t>
      </w:r>
      <w:r>
        <w:rPr>
          <w:sz w:val="28"/>
        </w:rPr>
      </w:r>
      <w:r/>
    </w:p>
    <w:p>
      <w:pPr>
        <w:pStyle w:val="261"/>
        <w:jc w:val="right"/>
        <w:shd w:val="clear" w:color="auto" w:fill="FFFFFF"/>
        <w:rPr>
          <w:sz w:val="28"/>
        </w:rPr>
      </w:pPr>
      <w:r>
        <w:rPr>
          <w:color w:val="010423"/>
          <w:sz w:val="28"/>
          <w:szCs w:val="28"/>
        </w:rPr>
        <w:t xml:space="preserve">на лучшего работника</w:t>
      </w:r>
      <w:r>
        <w:rPr>
          <w:sz w:val="28"/>
        </w:rPr>
      </w:r>
      <w:r/>
    </w:p>
    <w:p>
      <w:pPr>
        <w:pStyle w:val="261"/>
        <w:jc w:val="right"/>
        <w:shd w:val="clear" w:color="auto" w:fill="FFFFFF"/>
        <w:rPr>
          <w:sz w:val="28"/>
        </w:rPr>
      </w:pPr>
      <w:r>
        <w:rPr>
          <w:color w:val="010423"/>
          <w:sz w:val="28"/>
          <w:szCs w:val="28"/>
        </w:rPr>
        <w:t xml:space="preserve"> </w:t>
      </w:r>
      <w:r>
        <w:rPr>
          <w:color w:val="010423"/>
          <w:sz w:val="28"/>
          <w:szCs w:val="28"/>
        </w:rPr>
        <w:t xml:space="preserve">сферы государственной </w:t>
      </w:r>
      <w:r>
        <w:rPr>
          <w:sz w:val="28"/>
        </w:rPr>
      </w:r>
      <w:r/>
    </w:p>
    <w:p>
      <w:pPr>
        <w:pStyle w:val="261"/>
        <w:jc w:val="right"/>
        <w:shd w:val="clear" w:color="auto" w:fill="FFFFFF"/>
        <w:rPr>
          <w:sz w:val="28"/>
        </w:rPr>
      </w:pPr>
      <w:r>
        <w:rPr>
          <w:color w:val="010423"/>
          <w:sz w:val="28"/>
          <w:szCs w:val="28"/>
        </w:rPr>
        <w:t xml:space="preserve">молодежной политики</w:t>
      </w:r>
      <w:r>
        <w:rPr>
          <w:sz w:val="28"/>
        </w:rPr>
      </w:r>
      <w:r/>
    </w:p>
    <w:p>
      <w:pPr>
        <w:pStyle w:val="261"/>
        <w:jc w:val="right"/>
        <w:shd w:val="clear" w:color="auto" w:fill="FFFFFF"/>
        <w:rPr>
          <w:color w:val="010423"/>
        </w:rPr>
      </w:pPr>
      <w:r>
        <w:rPr>
          <w:color w:val="010423"/>
          <w:sz w:val="28"/>
          <w:szCs w:val="28"/>
        </w:rPr>
      </w:r>
      <w:r>
        <w:rPr>
          <w:sz w:val="28"/>
        </w:rPr>
      </w:r>
      <w:r/>
    </w:p>
    <w:p>
      <w:pPr>
        <w:pStyle w:val="261"/>
        <w:jc w:val="center"/>
        <w:shd w:val="clear" w:color="auto" w:fill="FFFFFF"/>
        <w:rPr>
          <w:sz w:val="28"/>
        </w:rPr>
      </w:pPr>
      <w:r>
        <w:rPr>
          <w:color w:val="010423"/>
          <w:sz w:val="28"/>
          <w:szCs w:val="28"/>
        </w:rPr>
        <w:t xml:space="preserve">ПЕРЕЧЕНЬ И КРИТЕРИИ ОЦЕНКИ</w:t>
      </w:r>
      <w:r>
        <w:rPr>
          <w:sz w:val="28"/>
        </w:rPr>
      </w:r>
      <w:r/>
    </w:p>
    <w:p>
      <w:pPr>
        <w:pStyle w:val="261"/>
        <w:jc w:val="center"/>
        <w:shd w:val="clear" w:color="auto" w:fill="FFFFFF"/>
        <w:rPr>
          <w:sz w:val="28"/>
        </w:rPr>
      </w:pPr>
      <w:r>
        <w:rPr>
          <w:color w:val="010423"/>
          <w:sz w:val="28"/>
          <w:szCs w:val="28"/>
        </w:rPr>
        <w:t xml:space="preserve">конкурсных испытаний регионального этапа Всероссийского этапа конкурса на лучшего работника сферы государственной молодежной политики</w:t>
      </w:r>
      <w:r>
        <w:rPr>
          <w:sz w:val="28"/>
        </w:rPr>
      </w:r>
      <w:r/>
    </w:p>
    <w:p>
      <w:pPr>
        <w:pStyle w:val="261"/>
        <w:jc w:val="right"/>
        <w:shd w:val="clear" w:color="auto" w:fill="FFFFFF"/>
        <w:rPr>
          <w:sz w:val="28"/>
        </w:rPr>
      </w:pPr>
      <w:r>
        <w:rPr>
          <w:color w:val="010423"/>
          <w:sz w:val="28"/>
          <w:szCs w:val="28"/>
        </w:rPr>
        <w:t xml:space="preserve"> </w:t>
      </w:r>
      <w:r>
        <w:rPr>
          <w:sz w:val="28"/>
        </w:rPr>
      </w:r>
      <w:r/>
    </w:p>
    <w:tbl>
      <w:tblPr>
        <w:tblW w:w="0" w:type="auto"/>
        <w:tblInd w:w="-89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8827"/>
        <w:gridCol w:w="1140"/>
      </w:tblGrid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261"/>
              <w:jc w:val="center"/>
              <w:rPr>
                <w:b/>
                <w:sz w:val="28"/>
              </w:rPr>
            </w:pPr>
            <w:r>
              <w:rPr>
                <w:b/>
                <w:color w:val="010423"/>
                <w:sz w:val="28"/>
                <w:szCs w:val="26"/>
              </w:rPr>
              <w:t xml:space="preserve">  №</w:t>
            </w:r>
            <w:r>
              <w:rPr>
                <w:b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textDirection w:val="lrTb"/>
            <w:noWrap w:val="false"/>
          </w:tcPr>
          <w:p>
            <w:pPr>
              <w:pStyle w:val="261"/>
              <w:jc w:val="center"/>
              <w:rPr>
                <w:b/>
                <w:sz w:val="28"/>
              </w:rPr>
            </w:pPr>
            <w:r>
              <w:rPr>
                <w:b/>
                <w:color w:val="010423"/>
                <w:sz w:val="28"/>
                <w:szCs w:val="26"/>
              </w:rPr>
              <w:t xml:space="preserve">Наименование критерия</w:t>
            </w:r>
            <w:r>
              <w:rPr>
                <w:b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261"/>
              <w:jc w:val="center"/>
              <w:rPr>
                <w:b/>
                <w:color w:val="010423"/>
                <w:sz w:val="28"/>
              </w:rPr>
            </w:pPr>
            <w:r>
              <w:rPr>
                <w:b/>
                <w:color w:val="010423"/>
                <w:sz w:val="28"/>
                <w:szCs w:val="26"/>
              </w:rPr>
              <w:t xml:space="preserve">Баллы</w:t>
            </w:r>
            <w:r>
              <w:rPr>
                <w:b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676" w:type="dxa"/>
            <w:vAlign w:val="top"/>
            <w:vMerge w:val="restart"/>
            <w:textDirection w:val="lrTb"/>
            <w:noWrap w:val="false"/>
          </w:tcPr>
          <w:p>
            <w:pPr>
              <w:pStyle w:val="261"/>
              <w:jc w:val="center"/>
              <w:rPr>
                <w:b/>
                <w:color w:val="010423"/>
                <w:sz w:val="28"/>
                <w:szCs w:val="26"/>
              </w:rPr>
            </w:pPr>
            <w:r>
              <w:rPr>
                <w:b/>
                <w:color w:val="010423"/>
                <w:sz w:val="28"/>
                <w:szCs w:val="26"/>
              </w:rPr>
            </w:r>
            <w:r>
              <w:rPr>
                <w:sz w:val="28"/>
              </w:rPr>
            </w:r>
            <w:r/>
          </w:p>
          <w:p>
            <w:pPr>
              <w:jc w:val="center"/>
              <w:rPr>
                <w:b/>
                <w:color w:val="010423"/>
                <w:sz w:val="28"/>
                <w:szCs w:val="26"/>
              </w:rPr>
            </w:pPr>
            <w:r>
              <w:rPr>
                <w:b/>
                <w:color w:val="010423"/>
                <w:sz w:val="28"/>
                <w:szCs w:val="26"/>
              </w:rPr>
              <w:t xml:space="preserve">Заочный тур</w:t>
            </w:r>
            <w:r>
              <w:rPr>
                <w:b/>
                <w:color w:val="010423"/>
                <w:sz w:val="28"/>
                <w:szCs w:val="26"/>
              </w:rPr>
            </w:r>
            <w:r/>
          </w:p>
          <w:p>
            <w:pPr>
              <w:jc w:val="center"/>
              <w:rPr>
                <w:b/>
                <w:color w:val="010423"/>
                <w:sz w:val="28"/>
                <w:szCs w:val="26"/>
              </w:rPr>
            </w:pPr>
            <w:r>
              <w:rPr>
                <w:b/>
                <w:color w:val="010423"/>
                <w:sz w:val="28"/>
                <w:szCs w:val="26"/>
              </w:rPr>
            </w:r>
            <w:r>
              <w:rPr>
                <w:b/>
                <w:color w:val="010423"/>
                <w:sz w:val="28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261"/>
              <w:jc w:val="center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1.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textDirection w:val="lrTb"/>
            <w:noWrap w:val="false"/>
          </w:tcPr>
          <w:p>
            <w:pPr>
              <w:pStyle w:val="261"/>
              <w:jc w:val="center"/>
              <w:rPr>
                <w:sz w:val="28"/>
              </w:rPr>
            </w:pPr>
            <w:r>
              <w:rPr>
                <w:b/>
                <w:color w:val="010423"/>
                <w:sz w:val="28"/>
                <w:szCs w:val="26"/>
              </w:rPr>
              <w:t xml:space="preserve">Видео на тему: «Моя профессия»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vMerge w:val="restart"/>
            <w:textDirection w:val="lrTb"/>
            <w:noWrap w:val="false"/>
          </w:tcPr>
          <w:p>
            <w:pPr>
              <w:pStyle w:val="261"/>
              <w:jc w:val="center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9</w:t>
            </w:r>
            <w:r>
              <w:rPr>
                <w:sz w:val="28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color w:val="010423"/>
                <w:sz w:val="26"/>
                <w:szCs w:val="26"/>
              </w:rPr>
            </w:r>
            <w:r>
              <w:rPr>
                <w:color w:val="010423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textDirection w:val="lrTb"/>
            <w:noWrap w:val="false"/>
          </w:tcPr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Критерии оценки: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аргументированность в изложении своих гражданских, профессиональных и личных позиций;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форма подачи (поставленная речь, внешний вид, творческая составляющая);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отражение профессиональной стороны собственной деятельности, рефлексия или иное обозначение профессиональных вызовов/вопросов для себя в деятельности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color w:val="010423"/>
                <w:sz w:val="26"/>
                <w:szCs w:val="26"/>
              </w:rPr>
            </w:r>
            <w:r>
              <w:rPr>
                <w:color w:val="010423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261"/>
              <w:jc w:val="center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2.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textDirection w:val="lrTb"/>
            <w:noWrap w:val="false"/>
          </w:tcPr>
          <w:p>
            <w:pPr>
              <w:pStyle w:val="261"/>
              <w:jc w:val="both"/>
              <w:rPr>
                <w:sz w:val="28"/>
              </w:rPr>
            </w:pPr>
            <w:r>
              <w:rPr>
                <w:b/>
                <w:color w:val="010423"/>
                <w:sz w:val="28"/>
                <w:szCs w:val="26"/>
              </w:rPr>
              <w:t xml:space="preserve">Презентация проведенного исследования среди молодежи: «Актуальные проблемы в молодежной среде» - номинации 1, 2 (формат </w:t>
            </w:r>
            <w:r>
              <w:rPr>
                <w:b/>
                <w:color w:val="010423"/>
                <w:sz w:val="28"/>
                <w:szCs w:val="26"/>
                <w:lang w:val="en-US"/>
              </w:rPr>
              <w:t xml:space="preserve">pdf</w:t>
            </w:r>
            <w:r>
              <w:rPr>
                <w:b/>
                <w:color w:val="010423"/>
                <w:sz w:val="28"/>
                <w:szCs w:val="26"/>
              </w:rPr>
              <w:t xml:space="preserve">)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vMerge w:val="restart"/>
            <w:textDirection w:val="lrTb"/>
            <w:noWrap w:val="false"/>
          </w:tcPr>
          <w:p>
            <w:pPr>
              <w:pStyle w:val="26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  <w:sz w:val="26"/>
                <w:szCs w:val="26"/>
              </w:rPr>
            </w:pPr>
            <w:r>
              <w:rPr>
                <w:color w:val="010423"/>
                <w:sz w:val="26"/>
                <w:szCs w:val="26"/>
              </w:rPr>
            </w:r>
            <w:r>
              <w:rPr>
                <w:color w:val="010423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vMerge w:val="restart"/>
            <w:textDirection w:val="lrTb"/>
            <w:noWrap w:val="false"/>
          </w:tcPr>
          <w:p>
            <w:pPr>
              <w:pStyle w:val="261"/>
              <w:jc w:val="both"/>
              <w:rPr>
                <w:b/>
                <w:color w:val="010423"/>
                <w:sz w:val="28"/>
                <w:szCs w:val="26"/>
              </w:rPr>
            </w:pPr>
            <w:r>
              <w:rPr>
                <w:b w:val="false"/>
                <w:color w:val="010423"/>
                <w:sz w:val="28"/>
                <w:szCs w:val="26"/>
              </w:rPr>
              <w:t xml:space="preserve">Исследование отдельных сторон, явлений или процессов в молодежной среде региона или муниципалитета, выполненное в текущем календарном году</w:t>
            </w:r>
            <w:r>
              <w:rPr>
                <w:b/>
                <w:color w:val="010423"/>
                <w:sz w:val="28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</w:pPr>
            <w:r/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color w:val="010423"/>
                <w:sz w:val="26"/>
                <w:szCs w:val="26"/>
              </w:rPr>
            </w:r>
            <w:r>
              <w:rPr>
                <w:color w:val="010423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textDirection w:val="lrTb"/>
            <w:noWrap w:val="false"/>
          </w:tcPr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Критерии оценки: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 актуальность проводимого исследования;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color w:val="010423"/>
                <w:sz w:val="28"/>
                <w:szCs w:val="26"/>
              </w:rPr>
            </w:pPr>
            <w:r>
              <w:rPr>
                <w:color w:val="010423"/>
                <w:sz w:val="28"/>
                <w:szCs w:val="26"/>
              </w:rPr>
              <w:t xml:space="preserve">- проработанность гипотезы исследования;</w:t>
            </w:r>
            <w:r>
              <w:rPr>
                <w:sz w:val="28"/>
              </w:rPr>
            </w:r>
            <w:r/>
          </w:p>
          <w:p>
            <w:pPr>
              <w:jc w:val="both"/>
              <w:rPr>
                <w:color w:val="010423"/>
                <w:sz w:val="28"/>
                <w:szCs w:val="26"/>
              </w:rPr>
            </w:pPr>
            <w:r>
              <w:rPr>
                <w:color w:val="010423"/>
                <w:sz w:val="28"/>
                <w:szCs w:val="26"/>
              </w:rPr>
              <w:t xml:space="preserve">- корректность методологии исследования;</w:t>
            </w:r>
            <w:r>
              <w:rPr>
                <w:color w:val="010423"/>
                <w:sz w:val="28"/>
                <w:szCs w:val="26"/>
              </w:rPr>
            </w:r>
            <w:r/>
          </w:p>
          <w:p>
            <w:pPr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логичность и обоснованность выводов исследования;</w:t>
            </w:r>
            <w:r>
              <w:rPr>
                <w:color w:val="010423"/>
                <w:sz w:val="28"/>
                <w:szCs w:val="26"/>
              </w:rPr>
            </w:r>
            <w:r/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color w:val="010423"/>
                <w:sz w:val="28"/>
                <w:szCs w:val="26"/>
              </w:rPr>
              <w:t xml:space="preserve">- визуальное оформление презентации.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color w:val="010423"/>
                <w:sz w:val="26"/>
                <w:szCs w:val="26"/>
              </w:rPr>
            </w:r>
            <w:r>
              <w:rPr>
                <w:color w:val="010423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color w:val="010423"/>
                <w:sz w:val="26"/>
                <w:szCs w:val="26"/>
              </w:rPr>
            </w:r>
            <w:r>
              <w:rPr>
                <w:color w:val="010423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textDirection w:val="lrTb"/>
            <w:noWrap w:val="false"/>
          </w:tcPr>
          <w:p>
            <w:pPr>
              <w:pStyle w:val="261"/>
              <w:jc w:val="both"/>
              <w:rPr>
                <w:sz w:val="28"/>
              </w:rPr>
            </w:pPr>
            <w:r>
              <w:rPr>
                <w:b/>
                <w:color w:val="010423"/>
                <w:sz w:val="28"/>
                <w:szCs w:val="26"/>
              </w:rPr>
              <w:t xml:space="preserve">Презентация учреждения по работе с молодежью – номинация 3 (формат </w:t>
            </w:r>
            <w:r>
              <w:rPr>
                <w:b/>
                <w:color w:val="010423"/>
                <w:sz w:val="28"/>
                <w:szCs w:val="26"/>
                <w:lang w:val="en-US"/>
              </w:rPr>
              <w:t xml:space="preserve">pdf</w:t>
            </w:r>
            <w:r>
              <w:rPr>
                <w:b/>
                <w:color w:val="010423"/>
                <w:sz w:val="28"/>
                <w:szCs w:val="26"/>
              </w:rPr>
              <w:t xml:space="preserve">) 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b/>
                <w:color w:val="010423"/>
                <w:sz w:val="26"/>
                <w:szCs w:val="26"/>
              </w:rPr>
            </w:r>
            <w:r>
              <w:rPr>
                <w:b/>
                <w:color w:val="010423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b/>
                <w:color w:val="010423"/>
                <w:sz w:val="26"/>
                <w:szCs w:val="26"/>
              </w:rPr>
            </w:r>
            <w:r>
              <w:rPr>
                <w:b/>
                <w:color w:val="010423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textDirection w:val="lrTb"/>
            <w:noWrap w:val="false"/>
          </w:tcPr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Критерии оценки: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color w:val="010423"/>
                <w:sz w:val="28"/>
                <w:szCs w:val="26"/>
              </w:rPr>
            </w:pPr>
            <w:r>
              <w:rPr>
                <w:color w:val="010423"/>
                <w:sz w:val="28"/>
                <w:szCs w:val="26"/>
              </w:rPr>
              <w:t xml:space="preserve">- концепция учреждения: миссия и задачи, анализ сильных и слабых сторон;</w:t>
            </w:r>
            <w:r>
              <w:rPr>
                <w:sz w:val="28"/>
              </w:rPr>
            </w:r>
            <w:r/>
          </w:p>
          <w:p>
            <w:pPr>
              <w:jc w:val="both"/>
              <w:rPr>
                <w:color w:val="010423"/>
                <w:sz w:val="28"/>
                <w:szCs w:val="26"/>
              </w:rPr>
            </w:pPr>
            <w:r>
              <w:rPr>
                <w:color w:val="010423"/>
                <w:sz w:val="28"/>
                <w:szCs w:val="26"/>
              </w:rPr>
              <w:t xml:space="preserve">- ключевые направления работы, общая модель управления;</w:t>
            </w:r>
            <w:r>
              <w:rPr>
                <w:color w:val="010423"/>
                <w:sz w:val="28"/>
                <w:szCs w:val="26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color w:val="010423"/>
                <w:sz w:val="28"/>
                <w:szCs w:val="26"/>
              </w:rPr>
              <w:t xml:space="preserve">- качество, доступность представляемых услуг, в т.ч. система взаимодействия и обратной связи от клиентских аудиторий;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color w:val="010423"/>
                <w:sz w:val="28"/>
                <w:szCs w:val="26"/>
              </w:rPr>
            </w:pPr>
            <w:r>
              <w:rPr>
                <w:color w:val="010423"/>
                <w:sz w:val="28"/>
                <w:szCs w:val="26"/>
              </w:rPr>
              <w:t xml:space="preserve">- мадиаактивность учреждения, сообразность информационных посылов целевым аудиториям;</w:t>
            </w:r>
            <w:r>
              <w:rPr>
                <w:sz w:val="28"/>
              </w:rPr>
            </w:r>
            <w:r/>
          </w:p>
          <w:p>
            <w:pPr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система мотивации работников учреждения;</w:t>
            </w:r>
            <w:r>
              <w:rPr>
                <w:color w:val="010423"/>
                <w:sz w:val="28"/>
                <w:szCs w:val="26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визуальное оформление презентации.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 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color w:val="010423"/>
                <w:sz w:val="26"/>
                <w:szCs w:val="26"/>
              </w:rPr>
            </w:r>
            <w:r>
              <w:rPr>
                <w:color w:val="010423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color w:val="010423"/>
                <w:sz w:val="26"/>
                <w:szCs w:val="26"/>
              </w:rPr>
            </w:r>
            <w:r>
              <w:rPr>
                <w:color w:val="010423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textDirection w:val="lrTb"/>
            <w:noWrap w:val="false"/>
          </w:tcPr>
          <w:p>
            <w:pPr>
              <w:pStyle w:val="261"/>
              <w:jc w:val="both"/>
              <w:rPr>
                <w:sz w:val="28"/>
              </w:rPr>
            </w:pPr>
            <w:r>
              <w:rPr>
                <w:b/>
                <w:color w:val="010423"/>
                <w:sz w:val="28"/>
                <w:szCs w:val="26"/>
              </w:rPr>
              <w:t xml:space="preserve">«Презентация авторского проекта в сфере государственной молодежной политики, реализуемого не менее 1 (одного) года» - номинации 4 и 5 (формат </w:t>
            </w:r>
            <w:r>
              <w:rPr>
                <w:b/>
                <w:color w:val="010423"/>
                <w:sz w:val="28"/>
                <w:szCs w:val="26"/>
                <w:lang w:val="en-US"/>
              </w:rPr>
              <w:t xml:space="preserve">pdf</w:t>
            </w:r>
            <w:r>
              <w:rPr>
                <w:b/>
                <w:color w:val="010423"/>
                <w:sz w:val="28"/>
                <w:szCs w:val="26"/>
              </w:rPr>
              <w:t xml:space="preserve">)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b/>
                <w:color w:val="010423"/>
                <w:sz w:val="26"/>
                <w:szCs w:val="26"/>
              </w:rPr>
            </w:r>
            <w:r>
              <w:rPr>
                <w:b/>
                <w:color w:val="010423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b/>
                <w:color w:val="010423"/>
                <w:sz w:val="26"/>
                <w:szCs w:val="26"/>
              </w:rPr>
            </w:r>
            <w:r>
              <w:rPr>
                <w:b/>
                <w:color w:val="010423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827" w:type="dxa"/>
            <w:vAlign w:val="top"/>
            <w:textDirection w:val="lrTb"/>
            <w:noWrap w:val="false"/>
          </w:tcPr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Критерии оценки: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актуальность проекта, новизна для целевой группы;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color w:val="010423"/>
                <w:sz w:val="28"/>
                <w:szCs w:val="26"/>
              </w:rPr>
            </w:pPr>
            <w:r>
              <w:rPr>
                <w:color w:val="010423"/>
                <w:sz w:val="28"/>
                <w:szCs w:val="26"/>
              </w:rPr>
              <w:t xml:space="preserve">- системность, обоснованность, содержательная проработанность проекта;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масштабируемость и методическая описанность проекта;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color w:val="010423"/>
                <w:sz w:val="28"/>
                <w:szCs w:val="26"/>
              </w:rPr>
              <w:t xml:space="preserve">- достигнутые результаты проекта;</w:t>
            </w:r>
            <w:r>
              <w:rPr>
                <w:sz w:val="28"/>
              </w:rPr>
            </w:r>
            <w:r/>
          </w:p>
          <w:p>
            <w:pPr>
              <w:pStyle w:val="261"/>
              <w:jc w:val="both"/>
              <w:rPr>
                <w:sz w:val="28"/>
              </w:rPr>
            </w:pPr>
            <w:r>
              <w:rPr>
                <w:color w:val="010423"/>
                <w:sz w:val="28"/>
                <w:szCs w:val="26"/>
              </w:rPr>
              <w:t xml:space="preserve">- визуальное оформление презентации.</w:t>
            </w:r>
            <w:r>
              <w:rPr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0" w:type="dxa"/>
            <w:vAlign w:val="top"/>
            <w:vMerge w:val="continue"/>
            <w:textDirection w:val="lrTb"/>
            <w:noWrap w:val="false"/>
          </w:tcPr>
          <w:p>
            <w:pPr>
              <w:pStyle w:val="261"/>
              <w:jc w:val="center"/>
              <w:rPr>
                <w:color w:val="010423"/>
              </w:rPr>
            </w:pPr>
            <w:r>
              <w:rPr>
                <w:color w:val="010423"/>
                <w:sz w:val="26"/>
                <w:szCs w:val="26"/>
              </w:rPr>
            </w:r>
            <w:r>
              <w:rPr>
                <w:color w:val="010423"/>
                <w:sz w:val="26"/>
                <w:szCs w:val="26"/>
              </w:rPr>
            </w:r>
            <w:r/>
          </w:p>
        </w:tc>
      </w:tr>
    </w:tbl>
    <w:p>
      <w:pPr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  <w:t xml:space="preserve"> </w:t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ind w:left="0" w:right="0" w:firstLine="680"/>
        <w:jc w:val="both"/>
        <w:shd w:val="clear" w:color="auto" w:fill="FFFFFF"/>
        <w:rPr>
          <w:color w:val="010423"/>
          <w:sz w:val="28"/>
          <w:szCs w:val="28"/>
        </w:rPr>
      </w:pPr>
      <w:r>
        <w:rPr>
          <w:color w:val="010423"/>
          <w:sz w:val="28"/>
          <w:szCs w:val="28"/>
        </w:rPr>
      </w:r>
      <w:r/>
    </w:p>
    <w:p>
      <w:pPr>
        <w:pStyle w:val="2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61"/>
        <w:jc w:val="center"/>
        <w:shd w:val="clear" w:color="auto" w:fill="FFFFFF"/>
      </w:pPr>
      <w:r>
        <w:t xml:space="preserve"> </w:t>
      </w:r>
      <w:r/>
    </w:p>
    <w:p>
      <w:pPr>
        <w:pStyle w:val="261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>
        <w:numRestart w:val="continuous"/>
      </w:footnotePr>
      <w:type w:val="nextPage"/>
      <w:pgSz w:w="11906" w:h="16838" w:orient="portrait"/>
      <w:pgMar w:top="567" w:right="851" w:bottom="567" w:left="1418" w:header="709" w:footer="709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261"/>
        <w:ind w:left="0" w:firstLine="0"/>
        <w:tabs>
          <w:tab w:val="left" w:pos="0" w:leader="none"/>
        </w:tabs>
      </w:pPr>
    </w:lvl>
    <w:lvl w:ilvl="1">
      <w:start w:val="1"/>
      <w:numFmt w:val="decimal"/>
      <w:pStyle w:val="262"/>
      <w:suff w:val="nothing"/>
      <w:lvlText w:val=""/>
      <w:lvlJc w:val="left"/>
      <w:pPr>
        <w:pStyle w:val="261"/>
        <w:ind w:left="0" w:firstLine="0"/>
        <w:tabs>
          <w:tab w:val="left" w:pos="0" w:leader="none"/>
        </w:tabs>
      </w:pPr>
    </w:lvl>
    <w:lvl w:ilvl="2">
      <w:start w:val="1"/>
      <w:numFmt w:val="decimal"/>
      <w:suff w:val="nothing"/>
      <w:lvlText w:val=""/>
      <w:lvlJc w:val="left"/>
      <w:pPr>
        <w:pStyle w:val="261"/>
        <w:ind w:left="0" w:firstLine="0"/>
        <w:tabs>
          <w:tab w:val="left" w:pos="0" w:leader="none"/>
        </w:tabs>
      </w:pPr>
    </w:lvl>
    <w:lvl w:ilvl="3">
      <w:start w:val="1"/>
      <w:numFmt w:val="decimal"/>
      <w:suff w:val="nothing"/>
      <w:lvlText w:val=""/>
      <w:lvlJc w:val="left"/>
      <w:pPr>
        <w:pStyle w:val="261"/>
        <w:ind w:left="0" w:firstLine="0"/>
        <w:tabs>
          <w:tab w:val="left" w:pos="0" w:leader="none"/>
        </w:tabs>
      </w:pPr>
    </w:lvl>
    <w:lvl w:ilvl="4">
      <w:start w:val="1"/>
      <w:numFmt w:val="decimal"/>
      <w:suff w:val="nothing"/>
      <w:lvlText w:val=""/>
      <w:lvlJc w:val="left"/>
      <w:pPr>
        <w:pStyle w:val="261"/>
        <w:ind w:left="0" w:firstLine="0"/>
        <w:tabs>
          <w:tab w:val="left" w:pos="0" w:leader="none"/>
        </w:tabs>
      </w:pPr>
    </w:lvl>
    <w:lvl w:ilvl="5">
      <w:start w:val="1"/>
      <w:numFmt w:val="decimal"/>
      <w:suff w:val="nothing"/>
      <w:lvlText w:val=""/>
      <w:lvlJc w:val="left"/>
      <w:pPr>
        <w:pStyle w:val="261"/>
        <w:ind w:left="0" w:firstLine="0"/>
        <w:tabs>
          <w:tab w:val="left" w:pos="0" w:leader="none"/>
        </w:tabs>
      </w:pPr>
    </w:lvl>
    <w:lvl w:ilvl="6">
      <w:start w:val="1"/>
      <w:numFmt w:val="decimal"/>
      <w:suff w:val="nothing"/>
      <w:lvlText w:val=""/>
      <w:lvlJc w:val="left"/>
      <w:pPr>
        <w:pStyle w:val="261"/>
        <w:ind w:left="0" w:firstLine="0"/>
        <w:tabs>
          <w:tab w:val="left" w:pos="0" w:leader="none"/>
        </w:tabs>
      </w:pPr>
    </w:lvl>
    <w:lvl w:ilvl="7">
      <w:start w:val="1"/>
      <w:numFmt w:val="decimal"/>
      <w:suff w:val="nothing"/>
      <w:lvlText w:val=""/>
      <w:lvlJc w:val="left"/>
      <w:pPr>
        <w:pStyle w:val="261"/>
        <w:ind w:left="0" w:firstLine="0"/>
        <w:tabs>
          <w:tab w:val="left" w:pos="0" w:leader="none"/>
        </w:tabs>
      </w:pPr>
    </w:lvl>
    <w:lvl w:ilvl="8">
      <w:start w:val="1"/>
      <w:numFmt w:val="decimal"/>
      <w:suff w:val="nothing"/>
      <w:lvlText w:val=""/>
      <w:lvlJc w:val="left"/>
      <w:pPr>
        <w:pStyle w:val="261"/>
        <w:ind w:left="0" w:firstLine="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bullet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2">
    <w:name w:val="Heading 1"/>
    <w:basedOn w:val="261"/>
    <w:next w:val="261"/>
    <w:link w:val="19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93">
    <w:name w:val="Heading 1 Char"/>
    <w:link w:val="192"/>
    <w:uiPriority w:val="9"/>
    <w:rPr>
      <w:rFonts w:ascii="Arial" w:hAnsi="Arial" w:cs="Arial" w:eastAsia="Arial"/>
      <w:sz w:val="40"/>
      <w:szCs w:val="40"/>
    </w:rPr>
  </w:style>
  <w:style w:type="paragraph" w:styleId="194">
    <w:name w:val="Heading 2"/>
    <w:basedOn w:val="261"/>
    <w:next w:val="261"/>
    <w:link w:val="19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95">
    <w:name w:val="Heading 2 Char"/>
    <w:link w:val="194"/>
    <w:uiPriority w:val="9"/>
    <w:rPr>
      <w:rFonts w:ascii="Arial" w:hAnsi="Arial" w:cs="Arial" w:eastAsia="Arial"/>
      <w:sz w:val="34"/>
    </w:rPr>
  </w:style>
  <w:style w:type="paragraph" w:styleId="196">
    <w:name w:val="Heading 3"/>
    <w:basedOn w:val="261"/>
    <w:next w:val="261"/>
    <w:link w:val="1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97">
    <w:name w:val="Heading 3 Char"/>
    <w:link w:val="196"/>
    <w:uiPriority w:val="9"/>
    <w:rPr>
      <w:rFonts w:ascii="Arial" w:hAnsi="Arial" w:cs="Arial" w:eastAsia="Arial"/>
      <w:sz w:val="30"/>
      <w:szCs w:val="30"/>
    </w:rPr>
  </w:style>
  <w:style w:type="paragraph" w:styleId="198">
    <w:name w:val="Heading 4"/>
    <w:basedOn w:val="261"/>
    <w:next w:val="261"/>
    <w:link w:val="19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99">
    <w:name w:val="Heading 4 Char"/>
    <w:link w:val="198"/>
    <w:uiPriority w:val="9"/>
    <w:rPr>
      <w:rFonts w:ascii="Arial" w:hAnsi="Arial" w:cs="Arial" w:eastAsia="Arial"/>
      <w:b/>
      <w:bCs/>
      <w:sz w:val="26"/>
      <w:szCs w:val="26"/>
    </w:rPr>
  </w:style>
  <w:style w:type="paragraph" w:styleId="200">
    <w:name w:val="Heading 5"/>
    <w:basedOn w:val="261"/>
    <w:next w:val="261"/>
    <w:link w:val="20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1">
    <w:name w:val="Heading 5 Char"/>
    <w:link w:val="200"/>
    <w:uiPriority w:val="9"/>
    <w:rPr>
      <w:rFonts w:ascii="Arial" w:hAnsi="Arial" w:cs="Arial" w:eastAsia="Arial"/>
      <w:b/>
      <w:bCs/>
      <w:sz w:val="24"/>
      <w:szCs w:val="24"/>
    </w:rPr>
  </w:style>
  <w:style w:type="paragraph" w:styleId="202">
    <w:name w:val="Heading 6"/>
    <w:basedOn w:val="261"/>
    <w:next w:val="261"/>
    <w:link w:val="20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03">
    <w:name w:val="Heading 6 Char"/>
    <w:link w:val="202"/>
    <w:uiPriority w:val="9"/>
    <w:rPr>
      <w:rFonts w:ascii="Arial" w:hAnsi="Arial" w:cs="Arial" w:eastAsia="Arial"/>
      <w:b/>
      <w:bCs/>
      <w:sz w:val="22"/>
      <w:szCs w:val="22"/>
    </w:rPr>
  </w:style>
  <w:style w:type="paragraph" w:styleId="204">
    <w:name w:val="Heading 7"/>
    <w:basedOn w:val="261"/>
    <w:next w:val="261"/>
    <w:link w:val="20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05">
    <w:name w:val="Heading 7 Char"/>
    <w:link w:val="2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06">
    <w:name w:val="Heading 8"/>
    <w:basedOn w:val="261"/>
    <w:next w:val="261"/>
    <w:link w:val="20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07">
    <w:name w:val="Heading 8 Char"/>
    <w:link w:val="206"/>
    <w:uiPriority w:val="9"/>
    <w:rPr>
      <w:rFonts w:ascii="Arial" w:hAnsi="Arial" w:cs="Arial" w:eastAsia="Arial"/>
      <w:i/>
      <w:iCs/>
      <w:sz w:val="22"/>
      <w:szCs w:val="22"/>
    </w:rPr>
  </w:style>
  <w:style w:type="paragraph" w:styleId="208">
    <w:name w:val="Heading 9"/>
    <w:basedOn w:val="261"/>
    <w:next w:val="261"/>
    <w:link w:val="20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09">
    <w:name w:val="Heading 9 Char"/>
    <w:link w:val="208"/>
    <w:uiPriority w:val="9"/>
    <w:rPr>
      <w:rFonts w:ascii="Arial" w:hAnsi="Arial" w:cs="Arial" w:eastAsia="Arial"/>
      <w:i/>
      <w:iCs/>
      <w:sz w:val="21"/>
      <w:szCs w:val="21"/>
    </w:rPr>
  </w:style>
  <w:style w:type="paragraph" w:styleId="210">
    <w:name w:val="List Paragraph"/>
    <w:basedOn w:val="261"/>
    <w:qFormat/>
    <w:uiPriority w:val="34"/>
    <w:pPr>
      <w:contextualSpacing w:val="true"/>
      <w:ind w:left="720"/>
    </w:pPr>
  </w:style>
  <w:style w:type="paragraph" w:styleId="211">
    <w:name w:val="No Spacing"/>
    <w:qFormat/>
    <w:uiPriority w:val="1"/>
    <w:pPr>
      <w:spacing w:lineRule="auto" w:line="240" w:after="0" w:before="0"/>
    </w:pPr>
  </w:style>
  <w:style w:type="paragraph" w:styleId="212">
    <w:name w:val="Title"/>
    <w:basedOn w:val="261"/>
    <w:next w:val="261"/>
    <w:link w:val="21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13">
    <w:name w:val="Title Char"/>
    <w:link w:val="212"/>
    <w:uiPriority w:val="10"/>
    <w:rPr>
      <w:sz w:val="48"/>
      <w:szCs w:val="48"/>
    </w:rPr>
  </w:style>
  <w:style w:type="paragraph" w:styleId="214">
    <w:name w:val="Subtitle"/>
    <w:basedOn w:val="261"/>
    <w:next w:val="261"/>
    <w:link w:val="215"/>
    <w:qFormat/>
    <w:uiPriority w:val="11"/>
    <w:rPr>
      <w:sz w:val="24"/>
      <w:szCs w:val="24"/>
    </w:rPr>
    <w:pPr>
      <w:spacing w:after="200" w:before="200"/>
    </w:pPr>
  </w:style>
  <w:style w:type="character" w:styleId="215">
    <w:name w:val="Subtitle Char"/>
    <w:link w:val="214"/>
    <w:uiPriority w:val="11"/>
    <w:rPr>
      <w:sz w:val="24"/>
      <w:szCs w:val="24"/>
    </w:rPr>
  </w:style>
  <w:style w:type="paragraph" w:styleId="216">
    <w:name w:val="Quote"/>
    <w:basedOn w:val="261"/>
    <w:next w:val="261"/>
    <w:link w:val="217"/>
    <w:qFormat/>
    <w:uiPriority w:val="29"/>
    <w:rPr>
      <w:i/>
    </w:rPr>
    <w:pPr>
      <w:ind w:left="720" w:right="720"/>
    </w:pPr>
  </w:style>
  <w:style w:type="character" w:styleId="217">
    <w:name w:val="Quote Char"/>
    <w:link w:val="216"/>
    <w:uiPriority w:val="29"/>
    <w:rPr>
      <w:i/>
    </w:rPr>
  </w:style>
  <w:style w:type="paragraph" w:styleId="218">
    <w:name w:val="Intense Quote"/>
    <w:basedOn w:val="261"/>
    <w:next w:val="261"/>
    <w:link w:val="21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19">
    <w:name w:val="Intense Quote Char"/>
    <w:link w:val="218"/>
    <w:uiPriority w:val="30"/>
    <w:rPr>
      <w:i/>
    </w:rPr>
  </w:style>
  <w:style w:type="paragraph" w:styleId="220">
    <w:name w:val="Header"/>
    <w:basedOn w:val="261"/>
    <w:link w:val="2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21">
    <w:name w:val="Header Char"/>
    <w:link w:val="220"/>
    <w:uiPriority w:val="99"/>
  </w:style>
  <w:style w:type="paragraph" w:styleId="222">
    <w:name w:val="Footer"/>
    <w:basedOn w:val="261"/>
    <w:link w:val="22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23">
    <w:name w:val="Footer Char"/>
    <w:link w:val="222"/>
    <w:uiPriority w:val="99"/>
  </w:style>
  <w:style w:type="table" w:styleId="224">
    <w:name w:val="Table Grid"/>
    <w:basedOn w:val="2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5">
    <w:name w:val="Lined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6">
    <w:name w:val="Lined - Accent 1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7">
    <w:name w:val="Lined - Accent 2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8">
    <w:name w:val="Lined - Accent 3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9">
    <w:name w:val="Lined - Accent 4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0">
    <w:name w:val="Lined - Accent 5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1">
    <w:name w:val="Lined - Accent 6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32">
    <w:name w:val="Bordered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33">
    <w:name w:val="Bordered - Accent 1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34">
    <w:name w:val="Bordered - Accent 2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35">
    <w:name w:val="Bordered - Accent 3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36">
    <w:name w:val="Bordered - Accent 4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7">
    <w:name w:val="Bordered - Accent 5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8">
    <w:name w:val="Bordered - Accent 6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9">
    <w:name w:val="Bordered &amp; Lined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40">
    <w:name w:val="Bordered &amp; Lined - Accent 1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41">
    <w:name w:val="Bordered &amp; Lined - Accent 2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2">
    <w:name w:val="Bordered &amp; Lined - Accent 3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43">
    <w:name w:val="Bordered &amp; Lined - Accent 4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4">
    <w:name w:val="Bordered &amp; Lined - Accent 5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5">
    <w:name w:val="Bordered &amp; Lined - Accent 6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46">
    <w:name w:val="Hyperlink"/>
    <w:uiPriority w:val="99"/>
    <w:unhideWhenUsed/>
    <w:rPr>
      <w:color w:val="0000FF" w:themeColor="hyperlink"/>
      <w:u w:val="single"/>
    </w:rPr>
  </w:style>
  <w:style w:type="paragraph" w:styleId="247">
    <w:name w:val="footnote text"/>
    <w:basedOn w:val="261"/>
    <w:link w:val="248"/>
    <w:uiPriority w:val="99"/>
    <w:semiHidden/>
    <w:unhideWhenUsed/>
    <w:rPr>
      <w:sz w:val="18"/>
    </w:rPr>
    <w:pPr>
      <w:spacing w:lineRule="auto" w:line="240" w:after="40"/>
    </w:pPr>
  </w:style>
  <w:style w:type="character" w:styleId="248">
    <w:name w:val="Footnote Text Char"/>
    <w:link w:val="247"/>
    <w:uiPriority w:val="99"/>
    <w:rPr>
      <w:sz w:val="18"/>
    </w:rPr>
  </w:style>
  <w:style w:type="character" w:styleId="249">
    <w:name w:val="footnote reference"/>
    <w:uiPriority w:val="99"/>
    <w:unhideWhenUsed/>
    <w:rPr>
      <w:vertAlign w:val="superscript"/>
    </w:rPr>
  </w:style>
  <w:style w:type="paragraph" w:styleId="250">
    <w:name w:val="toc 1"/>
    <w:basedOn w:val="261"/>
    <w:next w:val="261"/>
    <w:uiPriority w:val="39"/>
    <w:unhideWhenUsed/>
    <w:pPr>
      <w:ind w:left="0" w:right="0" w:firstLine="0"/>
      <w:spacing w:after="57"/>
    </w:pPr>
  </w:style>
  <w:style w:type="paragraph" w:styleId="251">
    <w:name w:val="toc 2"/>
    <w:basedOn w:val="261"/>
    <w:next w:val="261"/>
    <w:uiPriority w:val="39"/>
    <w:unhideWhenUsed/>
    <w:pPr>
      <w:ind w:left="283" w:right="0" w:firstLine="0"/>
      <w:spacing w:after="57"/>
    </w:pPr>
  </w:style>
  <w:style w:type="paragraph" w:styleId="252">
    <w:name w:val="toc 3"/>
    <w:basedOn w:val="261"/>
    <w:next w:val="261"/>
    <w:uiPriority w:val="39"/>
    <w:unhideWhenUsed/>
    <w:pPr>
      <w:ind w:left="567" w:right="0" w:firstLine="0"/>
      <w:spacing w:after="57"/>
    </w:pPr>
  </w:style>
  <w:style w:type="paragraph" w:styleId="253">
    <w:name w:val="toc 4"/>
    <w:basedOn w:val="261"/>
    <w:next w:val="261"/>
    <w:uiPriority w:val="39"/>
    <w:unhideWhenUsed/>
    <w:pPr>
      <w:ind w:left="850" w:right="0" w:firstLine="0"/>
      <w:spacing w:after="57"/>
    </w:pPr>
  </w:style>
  <w:style w:type="paragraph" w:styleId="254">
    <w:name w:val="toc 5"/>
    <w:basedOn w:val="261"/>
    <w:next w:val="261"/>
    <w:uiPriority w:val="39"/>
    <w:unhideWhenUsed/>
    <w:pPr>
      <w:ind w:left="1134" w:right="0" w:firstLine="0"/>
      <w:spacing w:after="57"/>
    </w:pPr>
  </w:style>
  <w:style w:type="paragraph" w:styleId="255">
    <w:name w:val="toc 6"/>
    <w:basedOn w:val="261"/>
    <w:next w:val="261"/>
    <w:uiPriority w:val="39"/>
    <w:unhideWhenUsed/>
    <w:pPr>
      <w:ind w:left="1417" w:right="0" w:firstLine="0"/>
      <w:spacing w:after="57"/>
    </w:pPr>
  </w:style>
  <w:style w:type="paragraph" w:styleId="256">
    <w:name w:val="toc 7"/>
    <w:basedOn w:val="261"/>
    <w:next w:val="261"/>
    <w:uiPriority w:val="39"/>
    <w:unhideWhenUsed/>
    <w:pPr>
      <w:ind w:left="1701" w:right="0" w:firstLine="0"/>
      <w:spacing w:after="57"/>
    </w:pPr>
  </w:style>
  <w:style w:type="paragraph" w:styleId="257">
    <w:name w:val="toc 8"/>
    <w:basedOn w:val="261"/>
    <w:next w:val="261"/>
    <w:uiPriority w:val="39"/>
    <w:unhideWhenUsed/>
    <w:pPr>
      <w:ind w:left="1984" w:right="0" w:firstLine="0"/>
      <w:spacing w:after="57"/>
    </w:pPr>
  </w:style>
  <w:style w:type="paragraph" w:styleId="258">
    <w:name w:val="toc 9"/>
    <w:basedOn w:val="261"/>
    <w:next w:val="261"/>
    <w:uiPriority w:val="39"/>
    <w:unhideWhenUsed/>
    <w:pPr>
      <w:ind w:left="2268" w:right="0" w:firstLine="0"/>
      <w:spacing w:after="57"/>
    </w:pPr>
  </w:style>
  <w:style w:type="paragraph" w:styleId="259">
    <w:name w:val="TOC Heading"/>
    <w:uiPriority w:val="39"/>
    <w:unhideWhenUsed/>
  </w:style>
  <w:style w:type="table" w:styleId="26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61" w:default="1">
    <w:name w:val="Normal"/>
    <w:next w:val="261"/>
    <w:link w:val="261"/>
    <w:rPr>
      <w:rFonts w:ascii="Times New Roman" w:hAnsi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paragraph" w:styleId="262">
    <w:name w:val="Заголовок 2"/>
    <w:basedOn w:val="261"/>
    <w:next w:val="261"/>
    <w:link w:val="261"/>
    <w:rPr>
      <w:b/>
      <w:sz w:val="28"/>
      <w:szCs w:val="20"/>
    </w:rPr>
    <w:pPr>
      <w:numPr>
        <w:ilvl w:val="1"/>
        <w:numId w:val="1"/>
      </w:numPr>
      <w:jc w:val="center"/>
      <w:keepNext/>
      <w:outlineLvl w:val="1"/>
    </w:pPr>
  </w:style>
  <w:style w:type="character" w:styleId="263">
    <w:name w:val="WW8Num1z0"/>
    <w:next w:val="263"/>
    <w:link w:val="261"/>
  </w:style>
  <w:style w:type="character" w:styleId="264">
    <w:name w:val="WW8Num1z1"/>
    <w:next w:val="264"/>
    <w:link w:val="261"/>
  </w:style>
  <w:style w:type="character" w:styleId="265">
    <w:name w:val="WW8Num1z2"/>
    <w:next w:val="265"/>
    <w:link w:val="261"/>
  </w:style>
  <w:style w:type="character" w:styleId="266">
    <w:name w:val="WW8Num1z3"/>
    <w:next w:val="266"/>
    <w:link w:val="261"/>
  </w:style>
  <w:style w:type="character" w:styleId="267">
    <w:name w:val="WW8Num1z4"/>
    <w:next w:val="267"/>
    <w:link w:val="261"/>
  </w:style>
  <w:style w:type="character" w:styleId="268">
    <w:name w:val="WW8Num1z5"/>
    <w:next w:val="268"/>
    <w:link w:val="261"/>
  </w:style>
  <w:style w:type="character" w:styleId="269">
    <w:name w:val="WW8Num1z6"/>
    <w:next w:val="269"/>
  </w:style>
  <w:style w:type="character" w:styleId="270">
    <w:name w:val="WW8Num1z7"/>
    <w:next w:val="270"/>
    <w:link w:val="261"/>
  </w:style>
  <w:style w:type="character" w:styleId="271">
    <w:name w:val="WW8Num1z8"/>
    <w:next w:val="271"/>
  </w:style>
  <w:style w:type="character" w:styleId="272">
    <w:name w:val="WW8Num2z0"/>
    <w:next w:val="272"/>
    <w:link w:val="261"/>
    <w:rPr>
      <w:rFonts w:ascii="Times New Roman" w:hAnsi="Times New Roman" w:eastAsia="Times New Roman"/>
    </w:rPr>
  </w:style>
  <w:style w:type="character" w:styleId="273">
    <w:name w:val="WW8Num2z1"/>
    <w:next w:val="273"/>
    <w:link w:val="261"/>
    <w:rPr>
      <w:rFonts w:ascii="Courier New" w:hAnsi="Courier New"/>
    </w:rPr>
  </w:style>
  <w:style w:type="character" w:styleId="274">
    <w:name w:val="WW8Num2z2"/>
    <w:next w:val="274"/>
    <w:rPr>
      <w:rFonts w:ascii="Wingdings" w:hAnsi="Wingdings"/>
    </w:rPr>
  </w:style>
  <w:style w:type="character" w:styleId="275">
    <w:name w:val="WW8Num2z3"/>
    <w:next w:val="275"/>
    <w:link w:val="261"/>
    <w:rPr>
      <w:rFonts w:ascii="Symbol" w:hAnsi="Symbol"/>
    </w:rPr>
  </w:style>
  <w:style w:type="character" w:styleId="276">
    <w:name w:val="Основной шрифт абзаца"/>
    <w:next w:val="276"/>
    <w:link w:val="261"/>
  </w:style>
  <w:style w:type="character" w:styleId="277">
    <w:name w:val="Основной текст с отступом Знак"/>
    <w:basedOn w:val="276"/>
    <w:next w:val="277"/>
    <w:rPr>
      <w:rFonts w:ascii="Calibri" w:hAnsi="Calibri"/>
      <w:sz w:val="22"/>
      <w:szCs w:val="22"/>
      <w:lang w:val="ru-RU" w:bidi="ar-SA"/>
    </w:rPr>
  </w:style>
  <w:style w:type="character" w:styleId="278">
    <w:name w:val="Интернет-ссылка"/>
    <w:basedOn w:val="276"/>
    <w:next w:val="278"/>
    <w:rPr>
      <w:color w:val="0000FF"/>
      <w:u w:val="single"/>
    </w:rPr>
  </w:style>
  <w:style w:type="character" w:styleId="279">
    <w:name w:val="Выделение жирным"/>
    <w:basedOn w:val="276"/>
    <w:next w:val="279"/>
    <w:link w:val="261"/>
    <w:rPr>
      <w:b/>
      <w:bCs/>
    </w:rPr>
  </w:style>
  <w:style w:type="character" w:styleId="280">
    <w:name w:val="Основной текст_"/>
    <w:next w:val="280"/>
    <w:link w:val="261"/>
    <w:rPr>
      <w:spacing w:val="5"/>
      <w:sz w:val="21"/>
      <w:szCs w:val="21"/>
      <w:shd w:val="clear" w:color="auto" w:fill="FFFFFF"/>
    </w:rPr>
  </w:style>
  <w:style w:type="character" w:styleId="281">
    <w:name w:val="Основной текст + Интервал 0 pt"/>
    <w:next w:val="281"/>
    <w:link w:val="261"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styleId="282">
    <w:name w:val="Основной текст (4)_"/>
    <w:next w:val="282"/>
    <w:rPr>
      <w:b/>
      <w:bCs/>
      <w:spacing w:val="5"/>
      <w:sz w:val="21"/>
      <w:szCs w:val="21"/>
      <w:shd w:val="clear" w:color="auto" w:fill="FFFFFF"/>
    </w:rPr>
  </w:style>
  <w:style w:type="character" w:styleId="283">
    <w:name w:val="Основной текст (4) + Не полужирный;Интервал 0 pt"/>
    <w:basedOn w:val="282"/>
    <w:next w:val="283"/>
    <w:rPr>
      <w:rFonts w:ascii="Times New Roman" w:hAnsi="Times New Roman" w:eastAsia="Times New Roman"/>
      <w:i w:val="false"/>
      <w:iCs w:val="false"/>
      <w:caps w:val="false"/>
      <w:smallCaps w:val="false"/>
      <w:strike w:val="false"/>
      <w:dstrike w:val="false"/>
      <w:color w:val="000000"/>
      <w:spacing w:val="4"/>
      <w:position w:val="0"/>
      <w:sz w:val="21"/>
      <w:u w:val="none"/>
      <w:vertAlign w:val="baseline"/>
      <w:lang w:val="ru-RU"/>
    </w:rPr>
  </w:style>
  <w:style w:type="paragraph" w:styleId="284">
    <w:name w:val="Заголовок"/>
    <w:basedOn w:val="261"/>
    <w:next w:val="285"/>
    <w:link w:val="261"/>
    <w:rPr>
      <w:b/>
      <w:bCs/>
      <w:sz w:val="28"/>
    </w:rPr>
    <w:pPr>
      <w:jc w:val="center"/>
    </w:pPr>
  </w:style>
  <w:style w:type="paragraph" w:styleId="285">
    <w:name w:val="Основной текст"/>
    <w:basedOn w:val="261"/>
    <w:next w:val="285"/>
    <w:link w:val="261"/>
    <w:rPr>
      <w:sz w:val="28"/>
      <w:szCs w:val="20"/>
    </w:rPr>
    <w:pPr>
      <w:jc w:val="both"/>
    </w:pPr>
  </w:style>
  <w:style w:type="paragraph" w:styleId="286">
    <w:name w:val="Список"/>
    <w:basedOn w:val="285"/>
    <w:next w:val="286"/>
    <w:link w:val="261"/>
  </w:style>
  <w:style w:type="paragraph" w:styleId="287">
    <w:name w:val="Название"/>
    <w:basedOn w:val="261"/>
    <w:next w:val="287"/>
    <w:link w:val="261"/>
    <w:rPr>
      <w:i/>
      <w:iCs/>
      <w:sz w:val="24"/>
      <w:szCs w:val="24"/>
    </w:rPr>
    <w:pPr>
      <w:spacing w:after="120" w:before="120"/>
    </w:pPr>
  </w:style>
  <w:style w:type="paragraph" w:styleId="288">
    <w:name w:val="Указатель"/>
    <w:basedOn w:val="261"/>
    <w:next w:val="288"/>
    <w:link w:val="261"/>
  </w:style>
  <w:style w:type="paragraph" w:styleId="289">
    <w:name w:val="Абзац списка"/>
    <w:basedOn w:val="261"/>
    <w:next w:val="289"/>
    <w:link w:val="261"/>
    <w:rPr>
      <w:rFonts w:ascii="Calibri" w:hAnsi="Calibri" w:eastAsia="Calibri"/>
      <w:sz w:val="22"/>
      <w:szCs w:val="22"/>
    </w:rPr>
    <w:pPr>
      <w:contextualSpacing w:val="true"/>
      <w:ind w:left="720" w:right="0" w:firstLine="709"/>
      <w:jc w:val="center"/>
      <w:spacing w:lineRule="auto" w:line="360" w:after="0" w:before="0"/>
    </w:pPr>
  </w:style>
  <w:style w:type="paragraph" w:styleId="290">
    <w:name w:val="Без интервала"/>
    <w:next w:val="290"/>
    <w:link w:val="261"/>
    <w:rPr>
      <w:rFonts w:ascii="Calibri" w:hAnsi="Calibri" w:eastAsia="Calibri"/>
      <w:color w:val="auto"/>
      <w:sz w:val="22"/>
      <w:szCs w:val="22"/>
      <w:lang w:val="ru-RU" w:bidi="ar-SA" w:eastAsia="zh-CN"/>
    </w:rPr>
    <w:pPr>
      <w:widowControl/>
    </w:pPr>
  </w:style>
  <w:style w:type="paragraph" w:styleId="291">
    <w:name w:val="Основной текст с отступом"/>
    <w:basedOn w:val="261"/>
    <w:next w:val="291"/>
    <w:link w:val="261"/>
    <w:rPr>
      <w:rFonts w:ascii="Calibri" w:hAnsi="Calibri"/>
      <w:sz w:val="22"/>
      <w:szCs w:val="22"/>
    </w:rPr>
    <w:pPr>
      <w:ind w:left="283" w:right="0" w:firstLine="0"/>
      <w:spacing w:lineRule="auto" w:line="276" w:after="120" w:before="0"/>
    </w:pPr>
  </w:style>
  <w:style w:type="paragraph" w:styleId="292">
    <w:name w:val="ConsPlusNormal"/>
    <w:next w:val="292"/>
    <w:link w:val="261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293">
    <w:name w:val="Обычный (веб)"/>
    <w:basedOn w:val="261"/>
    <w:next w:val="293"/>
    <w:pPr>
      <w:spacing w:after="280" w:before="280"/>
    </w:pPr>
  </w:style>
  <w:style w:type="paragraph" w:styleId="294">
    <w:name w:val="ConsPlusTitle"/>
    <w:next w:val="294"/>
    <w:link w:val="261"/>
    <w:rPr>
      <w:rFonts w:ascii="Calibri" w:hAnsi="Calibri" w:eastAsia="Calibri"/>
      <w:b/>
      <w:bCs/>
      <w:color w:val="auto"/>
      <w:sz w:val="22"/>
      <w:szCs w:val="22"/>
      <w:lang w:val="ru-RU" w:bidi="ar-SA" w:eastAsia="zh-CN"/>
    </w:rPr>
    <w:pPr>
      <w:widowControl w:val="off"/>
    </w:pPr>
  </w:style>
  <w:style w:type="paragraph" w:styleId="295">
    <w:name w:val="Основной текст с отступом 2"/>
    <w:basedOn w:val="261"/>
    <w:next w:val="295"/>
    <w:pPr>
      <w:ind w:left="283" w:right="0" w:firstLine="0"/>
      <w:spacing w:lineRule="auto" w:line="480" w:after="120" w:before="0"/>
    </w:pPr>
  </w:style>
  <w:style w:type="paragraph" w:styleId="296">
    <w:name w:val="msonormalcxspmiddle"/>
    <w:basedOn w:val="261"/>
    <w:next w:val="296"/>
    <w:pPr>
      <w:spacing w:after="280" w:before="280"/>
    </w:pPr>
  </w:style>
  <w:style w:type="paragraph" w:styleId="297">
    <w:name w:val="Основной текст с отступом 3"/>
    <w:basedOn w:val="261"/>
    <w:next w:val="297"/>
    <w:rPr>
      <w:sz w:val="16"/>
      <w:szCs w:val="16"/>
    </w:rPr>
    <w:pPr>
      <w:ind w:left="283" w:right="0" w:firstLine="0"/>
      <w:spacing w:after="120" w:before="0"/>
    </w:pPr>
  </w:style>
  <w:style w:type="paragraph" w:styleId="298">
    <w:name w:val="Содержимое таблицы"/>
    <w:basedOn w:val="261"/>
    <w:next w:val="298"/>
    <w:link w:val="261"/>
    <w:rPr>
      <w:lang w:eastAsia="zh-CN"/>
    </w:rPr>
  </w:style>
  <w:style w:type="paragraph" w:styleId="299">
    <w:name w:val="Основной текст1"/>
    <w:basedOn w:val="261"/>
    <w:next w:val="299"/>
    <w:rPr>
      <w:spacing w:val="5"/>
      <w:sz w:val="21"/>
      <w:szCs w:val="21"/>
      <w:lang w:val="en-US"/>
    </w:rPr>
    <w:pPr>
      <w:ind w:left="0" w:right="0" w:hanging="380"/>
      <w:jc w:val="right"/>
      <w:spacing w:lineRule="atLeast" w:line="0"/>
      <w:shd w:val="clear" w:color="auto" w:fill="FFFFFF"/>
      <w:widowControl w:val="off"/>
    </w:pPr>
  </w:style>
  <w:style w:type="paragraph" w:styleId="300">
    <w:name w:val="Основной текст (4)"/>
    <w:basedOn w:val="261"/>
    <w:next w:val="300"/>
    <w:link w:val="261"/>
    <w:rPr>
      <w:b/>
      <w:bCs/>
      <w:spacing w:val="5"/>
      <w:sz w:val="21"/>
      <w:szCs w:val="21"/>
      <w:lang w:val="en-US"/>
    </w:rPr>
    <w:pPr>
      <w:jc w:val="center"/>
      <w:spacing w:lineRule="exact" w:line="283" w:after="0" w:before="420"/>
      <w:shd w:val="clear" w:color="auto" w:fill="FFFFFF"/>
      <w:widowControl w:val="off"/>
    </w:pPr>
  </w:style>
  <w:style w:type="paragraph" w:styleId="301">
    <w:name w:val="Заголовок таблицы"/>
    <w:basedOn w:val="298"/>
    <w:next w:val="301"/>
    <w:rPr>
      <w:b/>
      <w:bCs/>
    </w:rPr>
    <w:pPr>
      <w:jc w:val="center"/>
    </w:pPr>
  </w:style>
  <w:style w:type="character" w:styleId="302" w:default="1">
    <w:name w:val="Default Paragraph Font"/>
    <w:uiPriority w:val="1"/>
    <w:semiHidden/>
    <w:unhideWhenUsed/>
  </w:style>
  <w:style w:type="numbering" w:styleId="303" w:default="1">
    <w:name w:val="No List"/>
    <w:uiPriority w:val="99"/>
    <w:semiHidden/>
    <w:unhideWhenUsed/>
  </w:style>
  <w:style w:type="paragraph" w:styleId="304">
    <w:name w:val="Обычный"/>
    <w:next w:val="262"/>
    <w:link w:val="26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Р7-Офис/1.3.3.33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2020-08-31T15:24:02Z</dcterms:modified>
</cp:coreProperties>
</file>